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If I Could Invent Something New</w:t>
      </w:r>
    </w:p>
    <w:p w:rsidR="00000000" w:rsidDel="00000000" w:rsidP="00000000" w:rsidRDefault="00000000" w:rsidRPr="00000000" w14:paraId="00000002">
      <w:pPr>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By: Folajinmi Agaba JSS3 </w:t>
      </w:r>
    </w:p>
    <w:p w:rsidR="00000000" w:rsidDel="00000000" w:rsidP="00000000" w:rsidRDefault="00000000" w:rsidRPr="00000000" w14:paraId="00000003">
      <w:pPr>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Grange School Ikeja</w:t>
      </w:r>
    </w:p>
    <w:p w:rsidR="00000000" w:rsidDel="00000000" w:rsidP="00000000" w:rsidRDefault="00000000" w:rsidRPr="00000000" w14:paraId="00000004">
      <w:pPr>
        <w:jc w:val="both"/>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In a world where technology advances at an unprecedented rate, there is a remarkable invention that stands out not for its complexity but for its profound impact on human relationships: Cognitive apperception and the most fitting title is the Emotion Translator. Suppose a gadget to interpret human feelings and inclinations as accurately as technologically possible, helping people avoid misinterpretation and strengthen interpersonal relations. If I could invent something new in a blink of an eye it would be this product, which is a device for people who wish to understand each other and share their feelings.</w:t>
      </w:r>
    </w:p>
    <w:p w:rsidR="00000000" w:rsidDel="00000000" w:rsidP="00000000" w:rsidRDefault="00000000" w:rsidRPr="00000000" w14:paraId="00000006">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This creates tension because people have misunderstanding in their everyday interpersonal communication. Texts can be misleading, gestures can have double meanings and encodings of motives can be hidden in manners or traditions. As a piece of wearable technology, similar to a wrist-watch, the Emotion Translator relies on biosensors to identify even minor amplitudes in a person’s physiological activity, such as heart rate variability or skin conductance, or visemes that reveal the specific muscles being used in facial expressions, in combination with an advanced artificial neural network to decode signals. Through recognition of these cues, the device would portray an empathic visualization of the wearer’s emotions in a real-time scenario.</w:t>
      </w:r>
    </w:p>
    <w:p w:rsidR="00000000" w:rsidDel="00000000" w:rsidP="00000000" w:rsidRDefault="00000000" w:rsidRPr="00000000" w14:paraId="00000008">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As earlier stated, there are numerous possible uses of the Emotion Translator in explaining human behavior. In interpersonal communication, its effects could have been a means by which couples get to know each other well enough, hence reducing misunderstandings that lead to confrontation. </w:t>
      </w:r>
      <w:r w:rsidDel="00000000" w:rsidR="00000000" w:rsidRPr="00000000">
        <w:rPr>
          <w:rFonts w:ascii="Times New Roman" w:cs="Times New Roman" w:eastAsia="Times New Roman" w:hAnsi="Times New Roman"/>
          <w:sz w:val="26"/>
          <w:szCs w:val="26"/>
          <w:rtl w:val="0"/>
        </w:rPr>
        <w:t xml:space="preserve">Think of a situation where tension between partners is present, though one might try to conceal it with politeness: and the gadget shines a light on that uncomfortable truth, offering not an argument, but a hug. </w:t>
      </w:r>
      <w:r w:rsidDel="00000000" w:rsidR="00000000" w:rsidRPr="00000000">
        <w:rPr>
          <w:rFonts w:ascii="Times New Roman" w:cs="Times New Roman" w:eastAsia="Times New Roman" w:hAnsi="Times New Roman"/>
          <w:sz w:val="26"/>
          <w:szCs w:val="26"/>
          <w:highlight w:val="white"/>
          <w:rtl w:val="0"/>
        </w:rPr>
        <w:t xml:space="preserve">Guardians could make use of it to fathom out the unsaid troubles of children and extend their help right at the time of need.</w:t>
      </w:r>
    </w:p>
    <w:p w:rsidR="00000000" w:rsidDel="00000000" w:rsidP="00000000" w:rsidRDefault="00000000" w:rsidRPr="00000000" w14:paraId="0000000A">
      <w:pPr>
        <w:jc w:val="both"/>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However, the development of the Emotion Translator must not be viewed as a plain concept but as moral implications as well. Concerns still include the privacy factor; only the user should be allowed to decide who can access the emotional data. It should be made in a way that supports an empathetic approach, not fully take advantage of the vulnerable situation. Additionally, it should foster the kind of interaction that cannot be mediated, that should not replace the live contact, but rather enhance it.</w:t>
      </w:r>
    </w:p>
    <w:p w:rsidR="00000000" w:rsidDel="00000000" w:rsidP="00000000" w:rsidRDefault="00000000" w:rsidRPr="00000000" w14:paraId="0000000C">
      <w:pPr>
        <w:jc w:val="both"/>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Altogether, the Emotion Translator overcomes a conflict between the technical and the human approach to people’s relationships and their emotional expression, which gives us a chance to evolve in the sphere of relationships’ understanding. In essence, this invention which would reveal the gross and subtle gestures of body language indicating emotions, could erase the dysphoria of misinterpretation, misunderstanding, misunderstanding or rather each individual would be massively seen and heard. I wish I could come up with a new invention in the hope that this piece of device will be as wonderful as what this technology offers in advancing the truest form of humanity – love.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